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CE" w:rsidRDefault="003857CE" w:rsidP="003857CE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February 10, 2025 4:13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「協助產業提升競爭力布局海外市場計畫－產業聯盟」自</w:t>
      </w:r>
      <w:r>
        <w:rPr>
          <w:rFonts w:ascii="Tahoma" w:hAnsi="Tahoma" w:cs="Tahoma"/>
          <w:sz w:val="20"/>
          <w:szCs w:val="20"/>
        </w:rPr>
        <w:t>114</w:t>
      </w:r>
      <w:r>
        <w:rPr>
          <w:rFonts w:ascii="Tahoma" w:hAnsi="Tahoma" w:cs="Tahoma" w:hint="eastAsia"/>
          <w:sz w:val="20"/>
          <w:szCs w:val="20"/>
        </w:rPr>
        <w:t>年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 w:hint="eastAsia"/>
          <w:sz w:val="20"/>
          <w:szCs w:val="20"/>
        </w:rPr>
        <w:t>月</w:t>
      </w:r>
      <w:r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 w:hint="eastAsia"/>
          <w:sz w:val="20"/>
          <w:szCs w:val="20"/>
        </w:rPr>
        <w:t>日起受理申請至</w:t>
      </w:r>
      <w:r>
        <w:rPr>
          <w:rFonts w:ascii="Tahoma" w:hAnsi="Tahoma" w:cs="Tahoma"/>
          <w:sz w:val="20"/>
          <w:szCs w:val="20"/>
        </w:rPr>
        <w:t>114</w:t>
      </w:r>
      <w:r>
        <w:rPr>
          <w:rFonts w:ascii="Tahoma" w:hAnsi="Tahoma" w:cs="Tahoma" w:hint="eastAsia"/>
          <w:sz w:val="20"/>
          <w:szCs w:val="20"/>
        </w:rPr>
        <w:t>年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 w:hint="eastAsia"/>
          <w:sz w:val="20"/>
          <w:szCs w:val="20"/>
        </w:rPr>
        <w:t>月</w:t>
      </w:r>
      <w:r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 w:hint="eastAsia"/>
          <w:sz w:val="20"/>
          <w:szCs w:val="20"/>
        </w:rPr>
        <w:t>日止</w:t>
      </w:r>
    </w:p>
    <w:p w:rsidR="003857CE" w:rsidRDefault="003857CE" w:rsidP="003857CE"/>
    <w:p w:rsidR="003857CE" w:rsidRDefault="003857CE" w:rsidP="003857CE">
      <w:pPr>
        <w:spacing w:line="36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親愛的會員您好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</w:p>
    <w:p w:rsidR="003857CE" w:rsidRDefault="003857CE" w:rsidP="003857CE">
      <w:pPr>
        <w:spacing w:line="24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857CE" w:rsidRDefault="003857CE" w:rsidP="003857CE">
      <w:pPr>
        <w:spacing w:line="360" w:lineRule="exact"/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為協助產業因應出口高風險地區分散市場，並提升產業高值研發量能，拓展業務經營面向，並積極開發新興應用領域，以因應全球經濟的不確定性，分散風險以提升競爭力，經濟部研擬協助產業提升競爭力布局海外市場計畫，透過推動跨業合作，擴展應用領域、發展綠色產品、擴大競爭利基、高值化、差異化產品研發等作法，協助業者提升國際競爭力，擴大整體競爭利基。</w:t>
      </w:r>
    </w:p>
    <w:p w:rsidR="003857CE" w:rsidRDefault="003857CE" w:rsidP="003857CE">
      <w:pPr>
        <w:spacing w:beforeLines="50" w:line="360" w:lineRule="exact"/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 xml:space="preserve">本計畫網站： </w:t>
      </w:r>
      <w:hyperlink r:id="rId4" w:tgtFrame="_blank" w:history="1">
        <w:r>
          <w:rPr>
            <w:rStyle w:val="a3"/>
            <w:rFonts w:ascii="Arial" w:hAnsi="Arial" w:cs="Arial"/>
            <w:color w:val="F15923"/>
            <w:sz w:val="28"/>
            <w:szCs w:val="28"/>
          </w:rPr>
          <w:t>https://pse.is/6y35d9</w:t>
        </w:r>
      </w:hyperlink>
      <w:r>
        <w:t xml:space="preserve"> 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自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114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年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月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17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日起受理申請至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114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年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月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26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日止，洽詢單位：產業升級創新平台計畫專案辦公室，聯絡人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/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陳先生，電話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(02)2704-4844#113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，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Email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：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 xml:space="preserve">kenshinkao@smecf.org.tw 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。</w:t>
      </w:r>
    </w:p>
    <w:p w:rsidR="003857CE" w:rsidRDefault="003857CE" w:rsidP="00F85757">
      <w:pPr>
        <w:spacing w:beforeLines="50" w:afterLines="50"/>
        <w:jc w:val="center"/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222221"/>
          <w:spacing w:val="8"/>
          <w:sz w:val="26"/>
          <w:szCs w:val="26"/>
          <w:shd w:val="clear" w:color="auto" w:fill="FFFFFF"/>
        </w:rPr>
        <w:drawing>
          <wp:inline distT="0" distB="0" distL="0" distR="0">
            <wp:extent cx="4917440" cy="2766060"/>
            <wp:effectExtent l="19050" t="0" r="0" b="0"/>
            <wp:docPr id="1" name="圖片 2" descr="https://www.tmts.tw/storage/tmba/files/2025%E5%B9%B41%E6%9C%88/173638113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www.tmts.tw/storage/tmba/files/2025%E5%B9%B41%E6%9C%88/173638113065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75" cy="276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CE" w:rsidRDefault="003857CE" w:rsidP="00F85757">
      <w:pPr>
        <w:spacing w:beforeLines="50"/>
        <w:jc w:val="center"/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222221"/>
          <w:spacing w:val="8"/>
          <w:sz w:val="26"/>
          <w:szCs w:val="26"/>
          <w:shd w:val="clear" w:color="auto" w:fill="FFFFFF"/>
        </w:rPr>
        <w:drawing>
          <wp:inline distT="0" distB="0" distL="0" distR="0">
            <wp:extent cx="4952810" cy="2758440"/>
            <wp:effectExtent l="19050" t="0" r="190" b="0"/>
            <wp:docPr id="2" name="圖片 3" descr="https://www.tmts.tw/storage/tmba/files/2025%E5%B9%B41%E6%9C%88/173638111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s://www.tmts.tw/storage/tmba/files/2025%E5%B9%B41%E6%9C%88/173638111781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81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CE" w:rsidRPr="005315DB" w:rsidRDefault="003857CE" w:rsidP="003857CE">
      <w:pPr>
        <w:shd w:val="clear" w:color="auto" w:fill="FFFFFF"/>
        <w:spacing w:line="480" w:lineRule="exact"/>
        <w:jc w:val="center"/>
        <w:outlineLvl w:val="0"/>
        <w:rPr>
          <w:rFonts w:ascii="標楷體" w:eastAsia="標楷體" w:hAnsi="標楷體" w:cs="Arial"/>
          <w:b/>
          <w:bCs/>
          <w:color w:val="1A298E"/>
          <w:kern w:val="36"/>
          <w:sz w:val="40"/>
          <w:szCs w:val="40"/>
        </w:rPr>
      </w:pPr>
      <w:r w:rsidRPr="005315DB">
        <w:rPr>
          <w:rFonts w:ascii="標楷體" w:eastAsia="標楷體" w:hAnsi="標楷體" w:cs="Arial" w:hint="eastAsia"/>
          <w:b/>
          <w:bCs/>
          <w:color w:val="1A298E"/>
          <w:kern w:val="36"/>
          <w:sz w:val="40"/>
          <w:szCs w:val="40"/>
        </w:rPr>
        <w:lastRenderedPageBreak/>
        <w:t>「產業升級創新平台輔導計畫」項下「協助產業提升競爭力布局海外市場計畫－產業聯盟」</w:t>
      </w:r>
    </w:p>
    <w:p w:rsidR="003857CE" w:rsidRPr="005315DB" w:rsidRDefault="003857CE" w:rsidP="003857CE">
      <w:pPr>
        <w:shd w:val="clear" w:color="auto" w:fill="FFFFFF"/>
        <w:spacing w:before="240" w:after="120" w:line="340" w:lineRule="exact"/>
        <w:outlineLvl w:val="0"/>
        <w:rPr>
          <w:rFonts w:ascii="Arial" w:hAnsi="Arial" w:cs="Arial"/>
          <w:b/>
          <w:bCs/>
          <w:color w:val="1A298E"/>
          <w:kern w:val="36"/>
          <w:sz w:val="40"/>
          <w:szCs w:val="40"/>
        </w:rPr>
      </w:pP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一、計畫目標</w:t>
      </w:r>
    </w:p>
    <w:p w:rsidR="003857CE" w:rsidRDefault="003857CE" w:rsidP="003857CE">
      <w:pPr>
        <w:spacing w:line="340" w:lineRule="exact"/>
        <w:ind w:leftChars="100" w:left="240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為協助產業因應出口高風險地區分散市場，並提升產業高值研發量能，拓展業務經營面向，並積極開發新興應用領域，以因應全球經濟的不確定性，分散風險以提升競爭力，經濟部研擬協助產業提升競爭力布局海外市場計畫，透過推動跨業合作，擴展應用領域、發展綠色產品、擴大競爭利基、高值化、差異化產品研發等作法，協助業者提升國際競爭力，擴大整體競爭利基。</w:t>
      </w:r>
    </w:p>
    <w:p w:rsidR="003857CE" w:rsidRDefault="003857CE" w:rsidP="003857CE">
      <w:pPr>
        <w:spacing w:beforeLines="30" w:line="340" w:lineRule="exact"/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二、審查重點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包含成效指標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</w:p>
    <w:p w:rsidR="003857CE" w:rsidRDefault="003857CE" w:rsidP="003857CE">
      <w:pPr>
        <w:spacing w:line="340" w:lineRule="exact"/>
        <w:ind w:leftChars="100" w:left="240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一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申請企業研發實績與執行計畫之研發能力，多家企業申請計畫之整合能力。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二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計畫應具備投入高階應用開發，提高產品、產業進入門檻，切入高端市場潛力及行銷推廣、場域驗證、落地等策略之可行性。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三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計畫執行內容應導入綠色設計概念，開發相關原材料、零組件及產品，或申請海內外驗證或認證項目，使產品符合國際市場需求。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四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開發新產品（標的）應超越同業一般技術水準，且與現行紅海市場技術門檻有所區隔，對目標新市場有清晰的目標客群與需求分析。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五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具備產業關聯效果，推動跨領域合作與技術整合，切入關鍵產業供應鏈，帶動產業多元運用發展。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六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計畫執行期間須有拓展海外市場或切入國際供應鏈等新客戶之事實，列為驗收必要條件。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七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計畫可行性：計畫書完整性、可行性、經費編列合理性、無形資產引進及委託研究之內容與對象之必要性與合理性，團隊組成及執行經驗。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八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市場競爭能力：價格、上市時間、市占率、市場區隔、關鍵技術、品質優勢等。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九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其他有利審查：</w:t>
      </w:r>
    </w:p>
    <w:p w:rsidR="003857CE" w:rsidRDefault="003857CE" w:rsidP="003857CE">
      <w:pPr>
        <w:spacing w:line="340" w:lineRule="exact"/>
        <w:ind w:leftChars="300" w:left="1134" w:hangingChars="150" w:hanging="414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1</w:t>
      </w:r>
      <w:r>
        <w:rPr>
          <w:rFonts w:ascii="Arial" w:eastAsia="標楷體" w:hAnsi="Arial" w:cs="Arial" w:hint="eastAsia"/>
          <w:color w:val="222221"/>
          <w:spacing w:val="8"/>
          <w:sz w:val="26"/>
          <w:szCs w:val="26"/>
          <w:shd w:val="clear" w:color="auto" w:fill="FFFFFF"/>
        </w:rPr>
        <w:t>、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主導企業屬我國與中國大陸簽訂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ECFA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早收清單所涵蓋產業者，經核定通過補助款得加碼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20%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，惟不得超過總經費之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50%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。</w:t>
      </w:r>
    </w:p>
    <w:p w:rsidR="003857CE" w:rsidRDefault="003857CE" w:rsidP="003857CE">
      <w:pPr>
        <w:spacing w:line="340" w:lineRule="exact"/>
        <w:ind w:leftChars="300" w:left="1134" w:hangingChars="150" w:hanging="414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2</w:t>
      </w:r>
      <w:r>
        <w:rPr>
          <w:rFonts w:ascii="Arial" w:eastAsia="標楷體" w:hAnsi="Arial" w:cs="Arial" w:hint="eastAsia"/>
          <w:color w:val="222221"/>
          <w:spacing w:val="8"/>
          <w:sz w:val="26"/>
          <w:szCs w:val="26"/>
          <w:shd w:val="clear" w:color="auto" w:fill="FFFFFF"/>
        </w:rPr>
        <w:t>、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申請計畫購置國產化設備得優先支持。</w:t>
      </w:r>
    </w:p>
    <w:p w:rsidR="003857CE" w:rsidRDefault="003857CE" w:rsidP="003857CE">
      <w:pPr>
        <w:spacing w:line="340" w:lineRule="exact"/>
        <w:ind w:leftChars="300" w:left="1134" w:hangingChars="150" w:hanging="414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3</w:t>
      </w:r>
      <w:r>
        <w:rPr>
          <w:rFonts w:ascii="Arial" w:eastAsia="標楷體" w:hAnsi="Arial" w:cs="Arial" w:hint="eastAsia"/>
          <w:color w:val="222221"/>
          <w:spacing w:val="8"/>
          <w:sz w:val="26"/>
          <w:szCs w:val="26"/>
          <w:shd w:val="clear" w:color="auto" w:fill="FFFFFF"/>
        </w:rPr>
        <w:t>、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如有與臺灣資服業者合作，運用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AI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技術發展智慧化解決方案者，得優先支持。</w:t>
      </w:r>
    </w:p>
    <w:p w:rsidR="003857CE" w:rsidRDefault="003857CE" w:rsidP="003857CE">
      <w:pPr>
        <w:spacing w:beforeLines="30" w:line="340" w:lineRule="exact"/>
        <w:ind w:left="414" w:hangingChars="150" w:hanging="414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三、補助資格條件：</w:t>
      </w:r>
    </w:p>
    <w:p w:rsidR="003857CE" w:rsidRDefault="003857CE" w:rsidP="003857CE">
      <w:pPr>
        <w:spacing w:line="340" w:lineRule="exact"/>
        <w:ind w:leftChars="100" w:left="240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本計畫須由多家企業聯合提案，由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1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家企業擔任主導單位，聯合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5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家企業共同參與申請。申請資格為：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一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國內依法登記成立之獨資、合夥、有限合夥事業或公司，以製造業為限，且須依法辦理工廠登記（依法免辦工廠登記者應檢附主管機關核發之證明文件）。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二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主導企業須為自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111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年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1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月起具有出口實績者（檢附證明文件）。</w:t>
      </w:r>
    </w:p>
    <w:p w:rsidR="003857CE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三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非屬銀行拒絕往來戶，淨值（股東權益）為正值。</w:t>
      </w:r>
    </w:p>
    <w:p w:rsidR="003857CE" w:rsidRPr="005315DB" w:rsidRDefault="003857CE" w:rsidP="003857CE">
      <w:pPr>
        <w:spacing w:line="340" w:lineRule="exact"/>
        <w:ind w:leftChars="100" w:left="792" w:hangingChars="200" w:hanging="552"/>
        <w:rPr>
          <w:rFonts w:ascii="Arial" w:eastAsia="標楷體" w:hAnsi="Arial" w:cs="Arial"/>
          <w:b/>
          <w:bCs/>
          <w:color w:val="1A298E"/>
          <w:kern w:val="36"/>
          <w:sz w:val="26"/>
          <w:szCs w:val="26"/>
        </w:rPr>
      </w:pP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四</w:t>
      </w:r>
      <w:r w:rsidRPr="005315DB">
        <w:rPr>
          <w:rFonts w:ascii="Arial" w:eastAsia="標楷體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 w:rsidRPr="005315DB">
        <w:rPr>
          <w:rFonts w:ascii="Arial" w:eastAsia="標楷體" w:hAnsi="標楷體" w:cs="Arial"/>
          <w:color w:val="222221"/>
          <w:spacing w:val="8"/>
          <w:sz w:val="26"/>
          <w:szCs w:val="26"/>
          <w:shd w:val="clear" w:color="auto" w:fill="FFFFFF"/>
        </w:rPr>
        <w:t>申請企業及委外廠商皆不得為陸資投資企業（依本部投資審議司公布之最新陸資來臺投資事業名錄）。</w:t>
      </w:r>
    </w:p>
    <w:p w:rsidR="003857CE" w:rsidRPr="003857CE" w:rsidRDefault="003857CE" w:rsidP="003857CE"/>
    <w:p w:rsidR="003857CE" w:rsidRDefault="003857CE" w:rsidP="003857CE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3857CE" w:rsidRDefault="003857CE" w:rsidP="003857CE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3857CE" w:rsidRDefault="003857CE" w:rsidP="003857CE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3857CE" w:rsidRDefault="003857CE" w:rsidP="003857CE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3857CE" w:rsidRDefault="003857CE" w:rsidP="003857CE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3857CE" w:rsidRDefault="003857CE" w:rsidP="003857CE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3857CE" w:rsidRDefault="003857CE" w:rsidP="003857CE">
      <w:pPr>
        <w:spacing w:line="360" w:lineRule="exact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https://www.hosiery.org.tw</w:t>
      </w:r>
    </w:p>
    <w:p w:rsidR="00560DED" w:rsidRDefault="00560DED"/>
    <w:sectPr w:rsidR="00560DED" w:rsidSect="003857CE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857CE"/>
    <w:rsid w:val="003857CE"/>
    <w:rsid w:val="00560DED"/>
    <w:rsid w:val="00F8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7C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57C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B7BD6.B2EE21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B7BD6.B2EE21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se.is/6y35d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1441</Characters>
  <Application>Microsoft Office Word</Application>
  <DocSecurity>0</DocSecurity>
  <Lines>12</Lines>
  <Paragraphs>3</Paragraphs>
  <ScaleCrop>false</ScaleCrop>
  <Company>C.M.T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cp:lastPrinted>2025-02-10T08:16:00Z</cp:lastPrinted>
  <dcterms:created xsi:type="dcterms:W3CDTF">2025-02-10T08:14:00Z</dcterms:created>
  <dcterms:modified xsi:type="dcterms:W3CDTF">2025-02-10T08:17:00Z</dcterms:modified>
</cp:coreProperties>
</file>