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股份有限公司</w:t>
      </w: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72"/>
          <w:szCs w:val="36"/>
          <w:lang w:eastAsia="zh-HK"/>
        </w:rPr>
      </w:pPr>
      <w:r w:rsidRPr="005B2F43">
        <w:rPr>
          <w:rFonts w:ascii="Times New Roman" w:eastAsia="標楷體" w:hAnsi="Times New Roman" w:cs="Times New Roman" w:hint="eastAsia"/>
          <w:b/>
          <w:sz w:val="72"/>
          <w:szCs w:val="36"/>
        </w:rPr>
        <w:t>紡織品循環</w:t>
      </w:r>
      <w:r w:rsidRPr="005B2F43">
        <w:rPr>
          <w:rFonts w:ascii="Times New Roman" w:eastAsia="標楷體" w:hAnsi="Times New Roman" w:cs="Times New Roman" w:hint="eastAsia"/>
          <w:b/>
          <w:sz w:val="72"/>
          <w:szCs w:val="36"/>
          <w:lang w:eastAsia="zh-HK"/>
        </w:rPr>
        <w:t>執行計畫書</w:t>
      </w: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72"/>
          <w:szCs w:val="36"/>
        </w:rPr>
      </w:pPr>
      <w:r w:rsidRPr="005B2F43">
        <w:rPr>
          <w:rFonts w:ascii="Times New Roman" w:eastAsia="標楷體" w:hAnsi="Times New Roman" w:cs="Times New Roman" w:hint="eastAsia"/>
          <w:b/>
          <w:sz w:val="72"/>
          <w:szCs w:val="36"/>
        </w:rPr>
        <w:t>(</w:t>
      </w:r>
      <w:r w:rsidRPr="005B2F43">
        <w:rPr>
          <w:rFonts w:ascii="Times New Roman" w:eastAsia="標楷體" w:hAnsi="Times New Roman" w:cs="Times New Roman" w:hint="eastAsia"/>
          <w:b/>
          <w:sz w:val="72"/>
          <w:szCs w:val="36"/>
          <w:lang w:eastAsia="zh-HK"/>
        </w:rPr>
        <w:t>品牌服飾業</w:t>
      </w:r>
      <w:r w:rsidRPr="005B2F43">
        <w:rPr>
          <w:rFonts w:ascii="Times New Roman" w:eastAsia="標楷體" w:hAnsi="Times New Roman" w:cs="Times New Roman" w:hint="eastAsia"/>
          <w:b/>
          <w:sz w:val="72"/>
          <w:szCs w:val="36"/>
        </w:rPr>
        <w:t>)</w:t>
      </w: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72"/>
          <w:szCs w:val="36"/>
        </w:rPr>
      </w:pP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HK"/>
        </w:rPr>
      </w:pPr>
      <w:r w:rsidRPr="005B2F43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聯絡人</w:t>
      </w:r>
      <w:r w:rsidRPr="005B2F43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HK"/>
        </w:rPr>
      </w:pPr>
      <w:r w:rsidRPr="005B2F43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聯絡電話</w:t>
      </w:r>
      <w:r w:rsidRPr="005B2F43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  <w:r w:rsidRPr="005B2F43">
        <w:rPr>
          <w:rFonts w:ascii="Times New Roman" w:eastAsia="標楷體" w:hAnsi="Times New Roman" w:cs="Times New Roman"/>
          <w:b/>
          <w:sz w:val="36"/>
          <w:szCs w:val="36"/>
          <w:lang w:eastAsia="zh-HK"/>
        </w:rPr>
        <w:sym w:font="Wingdings 2" w:char="F099"/>
      </w: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B2F43">
        <w:rPr>
          <w:rFonts w:ascii="Times New Roman" w:eastAsia="標楷體" w:hAnsi="Times New Roman" w:cs="Times New Roman" w:hint="eastAsia"/>
          <w:b/>
          <w:sz w:val="36"/>
          <w:szCs w:val="36"/>
        </w:rPr>
        <w:t>E-m</w:t>
      </w:r>
      <w:r w:rsidRPr="005B2F43">
        <w:rPr>
          <w:rFonts w:ascii="Times New Roman" w:eastAsia="標楷體" w:hAnsi="Times New Roman" w:cs="Times New Roman"/>
          <w:b/>
          <w:sz w:val="36"/>
          <w:szCs w:val="36"/>
        </w:rPr>
        <w:t>ail</w:t>
      </w:r>
      <w:r w:rsidRPr="005B2F43">
        <w:rPr>
          <w:rFonts w:ascii="Times New Roman" w:eastAsia="標楷體" w:hAnsi="Times New Roman" w:cs="Times New Roman" w:hint="eastAsia"/>
          <w:b/>
          <w:sz w:val="36"/>
          <w:szCs w:val="36"/>
        </w:rPr>
        <w:t>：</w:t>
      </w: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72"/>
          <w:szCs w:val="36"/>
        </w:rPr>
      </w:pPr>
    </w:p>
    <w:p w:rsidR="00EE4956" w:rsidRPr="005B2F43" w:rsidRDefault="00EE4956" w:rsidP="00EE4956">
      <w:pPr>
        <w:widowControl/>
        <w:jc w:val="center"/>
        <w:rPr>
          <w:rFonts w:ascii="Times New Roman" w:eastAsia="標楷體" w:hAnsi="Times New Roman" w:cs="Times New Roman"/>
          <w:b/>
          <w:sz w:val="72"/>
          <w:szCs w:val="36"/>
        </w:rPr>
      </w:pPr>
    </w:p>
    <w:p w:rsidR="00EE4956" w:rsidRPr="005B2F43" w:rsidRDefault="00EE4956" w:rsidP="00EE4956">
      <w:pPr>
        <w:widowControl/>
        <w:jc w:val="distribute"/>
        <w:rPr>
          <w:rFonts w:ascii="Times New Roman" w:eastAsia="標楷體" w:hAnsi="Times New Roman" w:cs="Times New Roman"/>
          <w:sz w:val="36"/>
          <w:szCs w:val="36"/>
        </w:rPr>
      </w:pPr>
      <w:r w:rsidRPr="005B2F43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中華民國</w:t>
      </w:r>
      <w:r w:rsidRPr="005B2F43">
        <w:rPr>
          <w:rFonts w:ascii="Times New Roman" w:eastAsia="標楷體" w:hAnsi="Times New Roman" w:cs="Times New Roman" w:hint="eastAsia"/>
          <w:sz w:val="36"/>
          <w:szCs w:val="36"/>
        </w:rPr>
        <w:t>：</w:t>
      </w:r>
      <w:r w:rsidRPr="005B2F43"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Pr="005B2F43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年</w:t>
      </w:r>
      <w:r w:rsidRPr="005B2F43">
        <w:rPr>
          <w:rFonts w:ascii="Times New Roman" w:eastAsia="標楷體" w:hAnsi="Times New Roman" w:cs="Times New Roman" w:hint="eastAsia"/>
          <w:sz w:val="36"/>
          <w:szCs w:val="36"/>
        </w:rPr>
        <w:t xml:space="preserve">      </w:t>
      </w:r>
      <w:r w:rsidRPr="005B2F43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月</w:t>
      </w:r>
      <w:r w:rsidRPr="005B2F43">
        <w:rPr>
          <w:rFonts w:ascii="Times New Roman" w:eastAsia="標楷體" w:hAnsi="Times New Roman" w:cs="Times New Roman" w:hint="eastAsia"/>
          <w:sz w:val="36"/>
          <w:szCs w:val="36"/>
        </w:rPr>
        <w:t xml:space="preserve">      </w:t>
      </w:r>
      <w:r w:rsidRPr="005B2F43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日</w:t>
      </w:r>
    </w:p>
    <w:p w:rsidR="00EE4956" w:rsidRPr="005B2F43" w:rsidRDefault="00EE4956" w:rsidP="00EE4956">
      <w:pPr>
        <w:widowControl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5B2F43">
        <w:rPr>
          <w:rFonts w:ascii="Times New Roman" w:eastAsia="標楷體" w:hAnsi="Times New Roman" w:cs="Times New Roman"/>
          <w:sz w:val="36"/>
          <w:szCs w:val="36"/>
          <w:lang w:eastAsia="zh-HK"/>
        </w:rPr>
        <w:br w:type="page"/>
      </w:r>
    </w:p>
    <w:p w:rsidR="00EE4956" w:rsidRPr="005B2F43" w:rsidRDefault="00EE4956" w:rsidP="00EE4956">
      <w:pPr>
        <w:widowControl/>
        <w:spacing w:afterLines="100" w:after="360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5B2F43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lastRenderedPageBreak/>
        <w:t>基本資料表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2786"/>
        <w:gridCol w:w="1488"/>
        <w:gridCol w:w="2654"/>
      </w:tblGrid>
      <w:tr w:rsidR="005B2F43" w:rsidRPr="005B2F43" w:rsidTr="00E254F0">
        <w:trPr>
          <w:trHeight w:val="595"/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公司</w:t>
            </w: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名稱</w:t>
            </w:r>
          </w:p>
        </w:tc>
        <w:tc>
          <w:tcPr>
            <w:tcW w:w="1640" w:type="pct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1562" w:type="pct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2F43" w:rsidRPr="005B2F43" w:rsidTr="00E254F0">
        <w:trPr>
          <w:trHeight w:val="595"/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640" w:type="pct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聯絡人</w:t>
            </w:r>
          </w:p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2" w:type="pct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2F43" w:rsidRPr="005B2F43" w:rsidTr="00E254F0">
        <w:trPr>
          <w:trHeight w:val="595"/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傳真</w:t>
            </w:r>
          </w:p>
        </w:tc>
        <w:tc>
          <w:tcPr>
            <w:tcW w:w="1640" w:type="pct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1562" w:type="pct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2F43" w:rsidRPr="005B2F43" w:rsidTr="00E254F0">
        <w:trPr>
          <w:trHeight w:val="595"/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640" w:type="pct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562" w:type="pct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5B2F43" w:rsidRPr="005B2F43" w:rsidTr="00E254F0">
        <w:trPr>
          <w:trHeight w:val="595"/>
          <w:jc w:val="center"/>
        </w:trPr>
        <w:tc>
          <w:tcPr>
            <w:tcW w:w="922" w:type="pct"/>
            <w:shd w:val="clear" w:color="auto" w:fill="D9D9D9" w:themeFill="background1" w:themeFillShade="D9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2F4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078" w:type="pct"/>
            <w:gridSpan w:val="3"/>
            <w:vAlign w:val="center"/>
          </w:tcPr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EE4956" w:rsidRPr="005B2F43" w:rsidRDefault="00EE4956" w:rsidP="00E254F0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7C510E" w:rsidRPr="005B2F43" w:rsidTr="007C510E">
        <w:trPr>
          <w:trHeight w:val="8412"/>
          <w:jc w:val="center"/>
        </w:trPr>
        <w:tc>
          <w:tcPr>
            <w:tcW w:w="1" w:type="pct"/>
            <w:gridSpan w:val="4"/>
            <w:shd w:val="clear" w:color="auto" w:fill="auto"/>
          </w:tcPr>
          <w:p w:rsidR="007C510E" w:rsidRPr="005B2F43" w:rsidRDefault="007C510E" w:rsidP="007C510E">
            <w:pPr>
              <w:adjustRightInd w:val="0"/>
              <w:snapToGrid w:val="0"/>
              <w:spacing w:beforeLines="50" w:before="180"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r w:rsidRPr="005B2F4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公司永續循環作為簡介</w:t>
            </w:r>
            <w:r w:rsidRPr="005B2F4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</w:p>
          <w:p w:rsidR="007C510E" w:rsidRPr="005B2F43" w:rsidRDefault="007C510E" w:rsidP="007C510E">
            <w:pPr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E4956" w:rsidRPr="005B2F43" w:rsidRDefault="00EE4956" w:rsidP="00EE4956">
      <w:pPr>
        <w:widowControl/>
        <w:rPr>
          <w:rFonts w:ascii="Times New Roman" w:eastAsia="標楷體" w:hAnsi="Times New Roman" w:cs="Times New Roman"/>
          <w:sz w:val="36"/>
          <w:szCs w:val="36"/>
          <w:lang w:eastAsia="zh-HK"/>
        </w:rPr>
      </w:pP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-4" w:left="1" w:hangingChars="3" w:hanging="11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  <w:sectPr w:rsidR="00EE4956" w:rsidRPr="005B2F43" w:rsidSect="00AD2996">
          <w:footerReference w:type="default" r:id="rId9"/>
          <w:type w:val="continuous"/>
          <w:pgSz w:w="11906" w:h="16838"/>
          <w:pgMar w:top="1418" w:right="1701" w:bottom="1418" w:left="1701" w:header="851" w:footer="567" w:gutter="0"/>
          <w:pgNumType w:start="0"/>
          <w:cols w:space="425"/>
          <w:titlePg/>
          <w:docGrid w:type="lines" w:linePitch="360"/>
        </w:sectPr>
      </w:pP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-4" w:left="1" w:hangingChars="3" w:hanging="11"/>
        <w:jc w:val="center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5B2F43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lastRenderedPageBreak/>
        <w:t>自願性協議</w:t>
      </w: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0" w:left="720" w:firstLineChars="198" w:firstLine="55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0" w:left="720" w:firstLineChars="198" w:firstLine="5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本公司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B2F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（含所屬連鎖門市）為推動永續時尚及善盡企業社會責任</w:t>
      </w:r>
      <w:r w:rsidR="0086004D" w:rsidRPr="005B2F4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願配合環境部資源循環署政策</w:t>
      </w:r>
      <w:r w:rsidRPr="005B2F4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共同推動紡織品循環</w:t>
      </w:r>
      <w:r w:rsidRPr="005B2F4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擬</w:t>
      </w:r>
      <w:r w:rsidR="005B2F43" w:rsidRPr="005B2F43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Pr="005B2F4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自願性協議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內容如下表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EE4956" w:rsidRPr="005B2F43" w:rsidRDefault="00EE4956" w:rsidP="00EE4956">
      <w:pPr>
        <w:spacing w:beforeLines="100" w:before="360" w:afterLines="50" w:after="180"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B2F43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品牌服飾業者</w:t>
      </w:r>
      <w:r w:rsidRPr="005B2F43">
        <w:rPr>
          <w:rFonts w:ascii="Times New Roman" w:eastAsia="標楷體" w:hAnsi="Times New Roman" w:cs="Times New Roman" w:hint="eastAsia"/>
          <w:b/>
          <w:sz w:val="28"/>
          <w:szCs w:val="28"/>
        </w:rPr>
        <w:t>紡織品循環行動措施及規劃期程表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66"/>
        <w:gridCol w:w="3193"/>
        <w:gridCol w:w="4852"/>
        <w:gridCol w:w="3727"/>
        <w:gridCol w:w="1354"/>
      </w:tblGrid>
      <w:tr w:rsidR="005B2F43" w:rsidRPr="005B2F43" w:rsidTr="00E254F0">
        <w:trPr>
          <w:tblHeader/>
        </w:trPr>
        <w:tc>
          <w:tcPr>
            <w:tcW w:w="309" w:type="pct"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類別</w:t>
            </w:r>
          </w:p>
        </w:tc>
        <w:tc>
          <w:tcPr>
            <w:tcW w:w="1141" w:type="pct"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行動措施</w:t>
            </w:r>
          </w:p>
        </w:tc>
        <w:tc>
          <w:tcPr>
            <w:tcW w:w="1734" w:type="pct"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擬定措施（勾選或填寫）</w:t>
            </w:r>
          </w:p>
        </w:tc>
        <w:tc>
          <w:tcPr>
            <w:tcW w:w="1332" w:type="pct"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規劃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期程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（勾選或填寫）</w:t>
            </w:r>
          </w:p>
        </w:tc>
        <w:tc>
          <w:tcPr>
            <w:tcW w:w="484" w:type="pct"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備註</w:t>
            </w:r>
          </w:p>
        </w:tc>
      </w:tr>
      <w:tr w:rsidR="005B2F43" w:rsidRPr="005B2F43" w:rsidTr="00E254F0">
        <w:tc>
          <w:tcPr>
            <w:tcW w:w="309" w:type="pct"/>
            <w:vMerge w:val="restart"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回收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(60%)</w:t>
            </w: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於門市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提供消費者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回收點</w:t>
            </w:r>
            <w:r w:rsidRPr="005B2F43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或經由其他管道回收衣物</w:t>
            </w:r>
          </w:p>
        </w:tc>
        <w:tc>
          <w:tcPr>
            <w:tcW w:w="1734" w:type="pct"/>
            <w:vAlign w:val="center"/>
          </w:tcPr>
          <w:p w:rsidR="005B2F43" w:rsidRPr="005B2F43" w:rsidRDefault="00EE4956" w:rsidP="005B2F43">
            <w:pPr>
              <w:tabs>
                <w:tab w:val="left" w:pos="1276"/>
              </w:tabs>
              <w:spacing w:line="400" w:lineRule="exact"/>
              <w:ind w:left="312" w:hangingChars="71" w:hanging="312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同左，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且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規劃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去化管道如下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="008C1B2A" w:rsidRPr="005B2F43">
              <w:rPr>
                <w:rFonts w:ascii="Times New Roman" w:eastAsia="標楷體" w:hAnsi="Times New Roman" w:cs="Times New Roman" w:hint="eastAsia"/>
                <w:szCs w:val="24"/>
              </w:rPr>
              <w:t>交付當地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環保局；</w:t>
            </w: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="008C1B2A" w:rsidRPr="005B2F43">
              <w:rPr>
                <w:rFonts w:ascii="Times New Roman" w:eastAsia="標楷體" w:hAnsi="Times New Roman" w:cs="Times New Roman" w:hint="eastAsia"/>
                <w:szCs w:val="24"/>
              </w:rPr>
              <w:t>交付舊衣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回收業；</w:t>
            </w:r>
            <w:r w:rsidR="008C1B2A"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="008C1B2A" w:rsidRPr="005B2F43">
              <w:rPr>
                <w:rFonts w:ascii="Times New Roman" w:eastAsia="標楷體" w:hAnsi="Times New Roman" w:cs="Times New Roman" w:hint="eastAsia"/>
                <w:szCs w:val="24"/>
              </w:rPr>
              <w:t>交付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社福團體</w:t>
            </w:r>
            <w:r w:rsidR="008C1B2A" w:rsidRPr="005B2F43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="008C1B2A"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="008C1B2A" w:rsidRPr="005B2F43">
              <w:rPr>
                <w:rFonts w:ascii="Times New Roman" w:eastAsia="標楷體" w:hAnsi="Times New Roman" w:cs="Times New Roman" w:hint="eastAsia"/>
                <w:szCs w:val="24"/>
              </w:rPr>
              <w:t>交付纖維再生業者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  <w:r w:rsidR="008C1B2A"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  <w:p w:rsidR="00EE4956" w:rsidRPr="005B2F43" w:rsidRDefault="00EE4956" w:rsidP="005B2F43">
            <w:pPr>
              <w:tabs>
                <w:tab w:val="left" w:pos="1276"/>
              </w:tabs>
              <w:spacing w:line="400" w:lineRule="exact"/>
              <w:ind w:left="312" w:hangingChars="71" w:hanging="312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目前既有（門市家數比例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為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導入（門市家數比例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為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提供相關鼓勵措施促進消費者回收衣物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有（折扣或積點）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目前既有（門市家數比例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為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導入（門市家數比例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為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 w:val="restart"/>
            <w:vAlign w:val="center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循環及宣導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(10%)</w:t>
            </w: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lastRenderedPageBreak/>
              <w:t>回收之衣物應盡可能延長使用壽命</w:t>
            </w:r>
            <w:r w:rsidRPr="005B2F43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如已無法再使用之衣</w:t>
            </w:r>
            <w:r w:rsidR="00AD2996"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物</w:t>
            </w:r>
            <w:r w:rsidRPr="005B2F43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應進行資源化再生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送至資</w:t>
            </w:r>
            <w:r w:rsidR="00AD2996"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源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化再生衣物之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重量：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kg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定期進行永續產品及永續消費者行為宣導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頻率為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場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日前辦理宣導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頻率為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場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禁止銷毀未售出或退回之紡織品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312" w:hangingChars="71" w:hanging="312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同左，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且規劃處理方式為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日前達成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揭露</w:t>
            </w:r>
            <w:r w:rsidRPr="005B2F43">
              <w:rPr>
                <w:rFonts w:ascii="Times New Roman" w:eastAsia="標楷體" w:hAnsi="Times New Roman" w:cs="Times New Roman"/>
                <w:szCs w:val="24"/>
              </w:rPr>
              <w:t>紡織品碳足跡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312" w:hangingChars="71" w:hanging="312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日前達成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B2F43" w:rsidRPr="005B2F43" w:rsidTr="00E254F0">
        <w:trPr>
          <w:trHeight w:val="70"/>
        </w:trPr>
        <w:tc>
          <w:tcPr>
            <w:tcW w:w="309" w:type="pct"/>
            <w:vMerge w:val="restar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銷售及服務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(15%)</w:t>
            </w: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提供販售之衣物維修服務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提供販售之衣物再製服務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提供衣物共享服務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提供衣物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如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：禮服）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租賃服務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lastRenderedPageBreak/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lastRenderedPageBreak/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設置專區販售永續時尚產品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處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處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8C1B2A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回收之舊衣經由妥善整修後</w:t>
            </w:r>
            <w:r w:rsidRPr="005B2F43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作為二手衣販售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 w:val="restar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材質及原料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(15%)</w:t>
            </w: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材質單一化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167" w:hangingChars="38" w:hanging="167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販賣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聚酯纖維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衣物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含量至少：</w:t>
            </w: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80%</w:t>
            </w: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100%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beforeLines="100" w:before="360" w:line="400" w:lineRule="exact"/>
              <w:ind w:left="167" w:hangingChars="38" w:hanging="167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販賣尼龍類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衣物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含量至少：</w:t>
            </w: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80%</w:t>
            </w: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100%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beforeLines="100" w:before="360" w:line="400" w:lineRule="exact"/>
              <w:ind w:left="167" w:hangingChars="38" w:hanging="167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項產品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134" w:hangingChars="56" w:hanging="13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項產品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使用再生料製造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（來自紡織物）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167" w:hangingChars="38" w:hanging="167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販賣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聚酯纖維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類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衣物再生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料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含量至少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5%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beforeLines="100" w:before="360" w:line="400" w:lineRule="exact"/>
              <w:ind w:left="167" w:hangingChars="38" w:hanging="167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販賣尼龍類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衣物再生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料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含量至少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5%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beforeLines="100" w:before="360" w:line="400" w:lineRule="exact"/>
              <w:ind w:left="167" w:hangingChars="38" w:hanging="167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項產品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134" w:hangingChars="56" w:hanging="134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項產品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再生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料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比率標示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lastRenderedPageBreak/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lastRenderedPageBreak/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項產品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lastRenderedPageBreak/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134" w:hangingChars="56" w:hanging="134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項產品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  <w:tr w:rsidR="005B2F43" w:rsidRPr="005B2F43" w:rsidTr="00E254F0">
        <w:tc>
          <w:tcPr>
            <w:tcW w:w="309" w:type="pct"/>
            <w:vMerge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41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建立</w:t>
            </w:r>
            <w:r w:rsidRPr="005B2F43">
              <w:rPr>
                <w:rFonts w:ascii="Times New Roman" w:eastAsia="標楷體" w:hAnsi="Times New Roman" w:cs="Times New Roman"/>
                <w:szCs w:val="24"/>
                <w:lang w:eastAsia="zh-HK"/>
              </w:rPr>
              <w:t>數位產品護照</w:t>
            </w:r>
          </w:p>
        </w:tc>
        <w:tc>
          <w:tcPr>
            <w:tcW w:w="173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同左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無規劃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</w:p>
        </w:tc>
        <w:tc>
          <w:tcPr>
            <w:tcW w:w="1332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新細明體" w:eastAsia="新細明體" w:hAnsi="新細明體" w:cs="新細明體"/>
                <w:szCs w:val="24"/>
                <w:lang w:eastAsia="zh-HK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目前既有</w:t>
            </w:r>
          </w:p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ind w:left="246" w:hangingChars="56" w:hanging="246"/>
              <w:rPr>
                <w:rFonts w:ascii="Times New Roman" w:eastAsia="標楷體" w:hAnsi="Times New Roman" w:cs="Times New Roman"/>
                <w:szCs w:val="24"/>
              </w:rPr>
            </w:pPr>
            <w:r w:rsidRPr="005B2F43">
              <w:rPr>
                <w:rFonts w:ascii="Calibri" w:eastAsia="標楷體" w:hAnsi="Calibri" w:cs="Calibri"/>
                <w:sz w:val="44"/>
                <w:szCs w:val="44"/>
              </w:rPr>
              <w:t>□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5B2F4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日前</w:t>
            </w:r>
            <w:r w:rsidRPr="005B2F43">
              <w:rPr>
                <w:rFonts w:ascii="Times New Roman" w:eastAsia="標楷體" w:hAnsi="Times New Roman" w:cs="Times New Roman" w:hint="eastAsia"/>
                <w:szCs w:val="24"/>
              </w:rPr>
              <w:t>導入</w:t>
            </w:r>
          </w:p>
        </w:tc>
        <w:tc>
          <w:tcPr>
            <w:tcW w:w="484" w:type="pct"/>
          </w:tcPr>
          <w:p w:rsidR="00EE4956" w:rsidRPr="005B2F43" w:rsidRDefault="00EE4956" w:rsidP="00E254F0">
            <w:pPr>
              <w:tabs>
                <w:tab w:val="left" w:pos="1276"/>
              </w:tabs>
              <w:spacing w:line="400" w:lineRule="exact"/>
              <w:rPr>
                <w:rFonts w:ascii="Calibri" w:eastAsia="標楷體" w:hAnsi="Calibri" w:cs="Calibri"/>
                <w:sz w:val="44"/>
                <w:szCs w:val="44"/>
              </w:rPr>
            </w:pPr>
          </w:p>
        </w:tc>
      </w:tr>
    </w:tbl>
    <w:p w:rsidR="00CB4F5B" w:rsidRPr="005B2F43" w:rsidRDefault="00CB4F5B" w:rsidP="00CB4F5B">
      <w:pPr>
        <w:pStyle w:val="11"/>
        <w:tabs>
          <w:tab w:val="left" w:pos="426"/>
        </w:tabs>
        <w:spacing w:line="480" w:lineRule="exact"/>
        <w:ind w:leftChars="0"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備註：本表於填報後函報環境部資源循環署</w:t>
      </w:r>
      <w:r w:rsidRPr="005B2F4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由資源循環署依據</w:t>
      </w:r>
      <w:r w:rsidRPr="005B2F4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業者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擬定之措施及期程規劃內容</w:t>
      </w:r>
      <w:r w:rsidRPr="005B2F4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經綜合判斷達循環效益者</w:t>
      </w:r>
      <w:r w:rsidRPr="005B2F4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將頒發永續時尚標誌</w:t>
      </w:r>
      <w:r w:rsidRPr="005B2F4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成為認可之聯盟成員</w:t>
      </w:r>
      <w:r w:rsidRPr="005B2F4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以鼓勵企業持續朝</w:t>
      </w:r>
      <w:r w:rsidRPr="005B2F4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向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ESG</w:t>
      </w:r>
      <w:r w:rsidRPr="005B2F4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方向</w:t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努力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此致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  <w:r w:rsidRPr="005B2F43">
        <w:rPr>
          <w:rFonts w:ascii="標楷體" w:eastAsia="標楷體" w:hAnsi="標楷體" w:cs="Times New Roman"/>
          <w:sz w:val="28"/>
          <w:szCs w:val="28"/>
        </w:rPr>
        <w:tab/>
      </w:r>
      <w:r w:rsidRPr="005B2F43">
        <w:rPr>
          <w:rFonts w:ascii="標楷體" w:eastAsia="標楷體" w:hAnsi="標楷體" w:cs="Times New Roman"/>
          <w:sz w:val="28"/>
          <w:szCs w:val="28"/>
        </w:rPr>
        <w:tab/>
      </w:r>
      <w:r w:rsidRPr="005B2F43">
        <w:rPr>
          <w:rFonts w:ascii="標楷體" w:eastAsia="標楷體" w:hAnsi="標楷體" w:cs="Times New Roman"/>
          <w:sz w:val="28"/>
          <w:szCs w:val="28"/>
        </w:rPr>
        <w:tab/>
      </w:r>
      <w:r w:rsidRPr="005B2F43">
        <w:rPr>
          <w:rFonts w:ascii="Times New Roman" w:eastAsia="標楷體" w:hAnsi="Times New Roman" w:cs="Times New Roman" w:hint="eastAsia"/>
          <w:sz w:val="28"/>
          <w:szCs w:val="28"/>
        </w:rPr>
        <w:t>環境部資源循環署</w:t>
      </w: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E4956" w:rsidRPr="005B2F43" w:rsidRDefault="00EE4956" w:rsidP="00EE4956">
      <w:pPr>
        <w:pStyle w:val="11"/>
        <w:tabs>
          <w:tab w:val="left" w:pos="426"/>
        </w:tabs>
        <w:spacing w:line="40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公司名稱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B2F4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  <w:r w:rsidRPr="005B2F43">
        <w:rPr>
          <w:rFonts w:ascii="標楷體" w:eastAsia="標楷體" w:hAnsi="標楷體" w:cs="Times New Roman"/>
          <w:sz w:val="28"/>
          <w:szCs w:val="28"/>
          <w:u w:val="single"/>
        </w:rPr>
        <w:t xml:space="preserve">    </w:t>
      </w:r>
      <w:r w:rsidRPr="005B2F4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(</w:t>
      </w:r>
      <w:r w:rsidRPr="005B2F43">
        <w:rPr>
          <w:rFonts w:ascii="標楷體" w:eastAsia="標楷體" w:hAnsi="標楷體" w:cs="Times New Roman" w:hint="eastAsia"/>
          <w:sz w:val="28"/>
          <w:szCs w:val="28"/>
          <w:u w:val="single"/>
          <w:lang w:eastAsia="zh-HK"/>
        </w:rPr>
        <w:t>蓋章</w:t>
      </w:r>
      <w:r w:rsidRPr="005B2F43"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</w:p>
    <w:p w:rsidR="00EE4956" w:rsidRPr="005B2F43" w:rsidRDefault="00EE4956" w:rsidP="00EE4956">
      <w:pPr>
        <w:pStyle w:val="11"/>
        <w:tabs>
          <w:tab w:val="left" w:pos="426"/>
        </w:tabs>
        <w:spacing w:line="40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EE4956" w:rsidRPr="005B2F43" w:rsidRDefault="00EE4956" w:rsidP="00EE4956">
      <w:pPr>
        <w:pStyle w:val="11"/>
        <w:tabs>
          <w:tab w:val="left" w:pos="426"/>
        </w:tabs>
        <w:spacing w:line="40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公司負責人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B2F4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(</w:t>
      </w:r>
      <w:r w:rsidRPr="005B2F43">
        <w:rPr>
          <w:rFonts w:ascii="標楷體" w:eastAsia="標楷體" w:hAnsi="標楷體" w:cs="Times New Roman" w:hint="eastAsia"/>
          <w:sz w:val="28"/>
          <w:szCs w:val="28"/>
          <w:u w:val="single"/>
          <w:lang w:eastAsia="zh-HK"/>
        </w:rPr>
        <w:t>蓋章</w:t>
      </w:r>
      <w:r w:rsidRPr="005B2F43"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</w:p>
    <w:p w:rsidR="00EE4956" w:rsidRPr="005B2F43" w:rsidRDefault="00EE4956" w:rsidP="00EE4956">
      <w:pPr>
        <w:pStyle w:val="11"/>
        <w:tabs>
          <w:tab w:val="left" w:pos="426"/>
        </w:tabs>
        <w:spacing w:line="40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EE4956" w:rsidRPr="005B2F43" w:rsidRDefault="00EE4956" w:rsidP="00EE4956">
      <w:pPr>
        <w:pStyle w:val="11"/>
        <w:tabs>
          <w:tab w:val="left" w:pos="426"/>
        </w:tabs>
        <w:spacing w:line="400" w:lineRule="exact"/>
        <w:ind w:leftChars="0" w:left="848" w:hangingChars="303" w:hanging="848"/>
        <w:jc w:val="both"/>
        <w:rPr>
          <w:rFonts w:ascii="標楷體" w:eastAsia="標楷體" w:hAnsi="標楷體" w:cs="Times New Roman"/>
          <w:sz w:val="36"/>
          <w:szCs w:val="28"/>
        </w:rPr>
      </w:pP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/>
          <w:sz w:val="28"/>
          <w:szCs w:val="28"/>
          <w:lang w:eastAsia="zh-HK"/>
        </w:rPr>
        <w:tab/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公司統一編號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5B2F4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</w:t>
      </w:r>
    </w:p>
    <w:p w:rsidR="00EE4956" w:rsidRPr="005B2F43" w:rsidRDefault="00EE4956" w:rsidP="00EE4956">
      <w:pPr>
        <w:pStyle w:val="11"/>
        <w:tabs>
          <w:tab w:val="left" w:pos="426"/>
        </w:tabs>
        <w:spacing w:line="480" w:lineRule="exact"/>
        <w:ind w:leftChars="0" w:left="848" w:hangingChars="303" w:hanging="848"/>
        <w:jc w:val="center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7517D7" w:rsidRPr="005B2F43" w:rsidRDefault="00843750" w:rsidP="00200F4E">
      <w:pPr>
        <w:pStyle w:val="11"/>
        <w:tabs>
          <w:tab w:val="left" w:pos="426"/>
        </w:tabs>
        <w:spacing w:line="480" w:lineRule="exact"/>
        <w:ind w:leftChars="0" w:left="848" w:hangingChars="303" w:hanging="848"/>
        <w:jc w:val="center"/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</w:pP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中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華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民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國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年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  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月</w:t>
      </w:r>
      <w:r w:rsidRPr="005B2F4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5B2F43">
        <w:rPr>
          <w:rFonts w:ascii="標楷體" w:eastAsia="標楷體" w:hAnsi="標楷體" w:cs="Times New Roman"/>
          <w:sz w:val="28"/>
          <w:szCs w:val="28"/>
        </w:rPr>
        <w:t xml:space="preserve">     </w:t>
      </w:r>
      <w:r w:rsidRPr="005B2F43">
        <w:rPr>
          <w:rFonts w:ascii="標楷體" w:eastAsia="標楷體" w:hAnsi="標楷體" w:cs="Times New Roman" w:hint="eastAsia"/>
          <w:sz w:val="28"/>
          <w:szCs w:val="28"/>
          <w:lang w:eastAsia="zh-HK"/>
        </w:rPr>
        <w:t>日</w:t>
      </w:r>
      <w:bookmarkStart w:id="0" w:name="_GoBack"/>
      <w:bookmarkEnd w:id="0"/>
    </w:p>
    <w:sectPr w:rsidR="007517D7" w:rsidRPr="005B2F43" w:rsidSect="00200F4E">
      <w:footerReference w:type="default" r:id="rId10"/>
      <w:pgSz w:w="16838" w:h="11906" w:orient="landscape"/>
      <w:pgMar w:top="1701" w:right="1418" w:bottom="1701" w:left="1418" w:header="851" w:footer="567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>
      <w:r>
        <w:separator/>
      </w:r>
    </w:p>
  </w:endnote>
  <w:endnote w:type="continuationSeparator" w:id="0">
    <w:p w:rsidR="00D966E9" w:rsidRDefault="00D9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454855"/>
    </w:sdtPr>
    <w:sdtEndPr>
      <w:rPr>
        <w:rFonts w:ascii="Times New Roman" w:hAnsi="Times New Roman" w:cs="Times New Roman"/>
      </w:rPr>
    </w:sdtEndPr>
    <w:sdtContent>
      <w:p w:rsidR="00AD2996" w:rsidRPr="007C510E" w:rsidRDefault="00AD2996">
        <w:pPr>
          <w:pStyle w:val="a7"/>
          <w:jc w:val="center"/>
          <w:rPr>
            <w:rFonts w:ascii="Times New Roman" w:hAnsi="Times New Roman" w:cs="Times New Roman"/>
          </w:rPr>
        </w:pPr>
        <w:r w:rsidRPr="007C510E">
          <w:rPr>
            <w:rFonts w:ascii="Times New Roman" w:hAnsi="Times New Roman" w:cs="Times New Roman"/>
          </w:rPr>
          <w:fldChar w:fldCharType="begin"/>
        </w:r>
        <w:r w:rsidRPr="007C510E">
          <w:rPr>
            <w:rFonts w:ascii="Times New Roman" w:hAnsi="Times New Roman" w:cs="Times New Roman"/>
          </w:rPr>
          <w:instrText>PAGE   \* MERGEFORMAT</w:instrText>
        </w:r>
        <w:r w:rsidRPr="007C510E">
          <w:rPr>
            <w:rFonts w:ascii="Times New Roman" w:hAnsi="Times New Roman" w:cs="Times New Roman"/>
          </w:rPr>
          <w:fldChar w:fldCharType="separate"/>
        </w:r>
        <w:r w:rsidR="00200F4E" w:rsidRPr="00200F4E">
          <w:rPr>
            <w:rFonts w:ascii="Times New Roman" w:hAnsi="Times New Roman" w:cs="Times New Roman"/>
            <w:noProof/>
            <w:lang w:val="zh-TW"/>
          </w:rPr>
          <w:t>1</w:t>
        </w:r>
        <w:r w:rsidRPr="007C510E">
          <w:rPr>
            <w:rFonts w:ascii="Times New Roman" w:hAnsi="Times New Roman" w:cs="Times New Roman"/>
          </w:rPr>
          <w:fldChar w:fldCharType="end"/>
        </w:r>
      </w:p>
    </w:sdtContent>
  </w:sdt>
  <w:p w:rsidR="00AD2996" w:rsidRDefault="00AD2996">
    <w:pPr>
      <w:pStyle w:val="a7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78866"/>
    </w:sdtPr>
    <w:sdtEndPr>
      <w:rPr>
        <w:rFonts w:ascii="Times New Roman" w:hAnsi="Times New Roman" w:cs="Times New Roman"/>
      </w:rPr>
    </w:sdtEndPr>
    <w:sdtContent>
      <w:p w:rsidR="00561890" w:rsidRPr="007C510E" w:rsidRDefault="00561890">
        <w:pPr>
          <w:pStyle w:val="a7"/>
          <w:jc w:val="center"/>
          <w:rPr>
            <w:rFonts w:ascii="Times New Roman" w:hAnsi="Times New Roman" w:cs="Times New Roman"/>
          </w:rPr>
        </w:pPr>
        <w:r w:rsidRPr="007C510E">
          <w:rPr>
            <w:rFonts w:ascii="Times New Roman" w:hAnsi="Times New Roman" w:cs="Times New Roman"/>
          </w:rPr>
          <w:fldChar w:fldCharType="begin"/>
        </w:r>
        <w:r w:rsidRPr="007C510E">
          <w:rPr>
            <w:rFonts w:ascii="Times New Roman" w:hAnsi="Times New Roman" w:cs="Times New Roman"/>
          </w:rPr>
          <w:instrText>PAGE   \* MERGEFORMAT</w:instrText>
        </w:r>
        <w:r w:rsidRPr="007C510E">
          <w:rPr>
            <w:rFonts w:ascii="Times New Roman" w:hAnsi="Times New Roman" w:cs="Times New Roman"/>
          </w:rPr>
          <w:fldChar w:fldCharType="separate"/>
        </w:r>
        <w:r w:rsidR="00200F4E" w:rsidRPr="00200F4E">
          <w:rPr>
            <w:rFonts w:ascii="Times New Roman" w:hAnsi="Times New Roman" w:cs="Times New Roman"/>
            <w:noProof/>
            <w:lang w:val="zh-TW"/>
          </w:rPr>
          <w:t>2</w:t>
        </w:r>
        <w:r w:rsidRPr="007C510E">
          <w:rPr>
            <w:rFonts w:ascii="Times New Roman" w:hAnsi="Times New Roman" w:cs="Times New Roman"/>
          </w:rPr>
          <w:fldChar w:fldCharType="end"/>
        </w:r>
      </w:p>
    </w:sdtContent>
  </w:sdt>
  <w:p w:rsidR="00561890" w:rsidRDefault="00561890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>
      <w:r>
        <w:separator/>
      </w:r>
    </w:p>
  </w:footnote>
  <w:footnote w:type="continuationSeparator" w:id="0">
    <w:p w:rsidR="00D966E9" w:rsidRDefault="00D9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213"/>
    <w:multiLevelType w:val="multilevel"/>
    <w:tmpl w:val="0E300213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11094"/>
    <w:multiLevelType w:val="multilevel"/>
    <w:tmpl w:val="34764778"/>
    <w:lvl w:ilvl="0">
      <w:start w:val="1"/>
      <w:numFmt w:val="taiwaneseCountingThousand"/>
      <w:lvlText w:val="(%1)"/>
      <w:lvlJc w:val="left"/>
      <w:pPr>
        <w:ind w:left="1741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BD73856"/>
    <w:multiLevelType w:val="multilevel"/>
    <w:tmpl w:val="4E5F6089"/>
    <w:lvl w:ilvl="0">
      <w:start w:val="1"/>
      <w:numFmt w:val="taiwaneseCountingThousand"/>
      <w:lvlText w:val="(%1)"/>
      <w:lvlJc w:val="left"/>
      <w:pPr>
        <w:ind w:left="1741" w:hanging="465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FD86198"/>
    <w:multiLevelType w:val="multilevel"/>
    <w:tmpl w:val="1FD86198"/>
    <w:lvl w:ilvl="0">
      <w:start w:val="1"/>
      <w:numFmt w:val="taiwaneseCountingThousand"/>
      <w:lvlText w:val="(%1)"/>
      <w:lvlJc w:val="left"/>
      <w:pPr>
        <w:ind w:left="1741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4764778"/>
    <w:multiLevelType w:val="multilevel"/>
    <w:tmpl w:val="34764778"/>
    <w:lvl w:ilvl="0">
      <w:start w:val="1"/>
      <w:numFmt w:val="taiwaneseCountingThousand"/>
      <w:lvlText w:val="(%1)"/>
      <w:lvlJc w:val="left"/>
      <w:pPr>
        <w:ind w:left="1741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3BE33AF4"/>
    <w:multiLevelType w:val="multilevel"/>
    <w:tmpl w:val="3BE33AF4"/>
    <w:lvl w:ilvl="0">
      <w:start w:val="1"/>
      <w:numFmt w:val="taiwaneseCountingThousand"/>
      <w:lvlText w:val="(%1)"/>
      <w:lvlJc w:val="left"/>
      <w:pPr>
        <w:ind w:left="1741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4E5F6089"/>
    <w:multiLevelType w:val="multilevel"/>
    <w:tmpl w:val="4E5F6089"/>
    <w:lvl w:ilvl="0">
      <w:start w:val="1"/>
      <w:numFmt w:val="taiwaneseCountingThousand"/>
      <w:lvlText w:val="(%1)"/>
      <w:lvlJc w:val="left"/>
      <w:pPr>
        <w:ind w:left="1741" w:hanging="465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55FB4DCB"/>
    <w:multiLevelType w:val="multilevel"/>
    <w:tmpl w:val="55FB4DCB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upperLetter"/>
      <w:lvlText w:val="(%2)"/>
      <w:lvlJc w:val="left"/>
      <w:pPr>
        <w:ind w:left="35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50" w:hanging="480"/>
      </w:pPr>
    </w:lvl>
    <w:lvl w:ilvl="3">
      <w:start w:val="1"/>
      <w:numFmt w:val="decimal"/>
      <w:lvlText w:val="%4."/>
      <w:lvlJc w:val="left"/>
      <w:pPr>
        <w:ind w:left="1430" w:hanging="480"/>
      </w:pPr>
    </w:lvl>
    <w:lvl w:ilvl="4">
      <w:start w:val="1"/>
      <w:numFmt w:val="ideographTraditional"/>
      <w:lvlText w:val="%5、"/>
      <w:lvlJc w:val="left"/>
      <w:pPr>
        <w:ind w:left="1910" w:hanging="480"/>
      </w:pPr>
    </w:lvl>
    <w:lvl w:ilvl="5">
      <w:start w:val="1"/>
      <w:numFmt w:val="lowerRoman"/>
      <w:lvlText w:val="%6."/>
      <w:lvlJc w:val="right"/>
      <w:pPr>
        <w:ind w:left="2390" w:hanging="480"/>
      </w:pPr>
    </w:lvl>
    <w:lvl w:ilvl="6">
      <w:start w:val="1"/>
      <w:numFmt w:val="decimal"/>
      <w:lvlText w:val="%7."/>
      <w:lvlJc w:val="left"/>
      <w:pPr>
        <w:ind w:left="2870" w:hanging="480"/>
      </w:pPr>
    </w:lvl>
    <w:lvl w:ilvl="7">
      <w:start w:val="1"/>
      <w:numFmt w:val="ideographTraditional"/>
      <w:lvlText w:val="%8、"/>
      <w:lvlJc w:val="left"/>
      <w:pPr>
        <w:ind w:left="3350" w:hanging="480"/>
      </w:pPr>
    </w:lvl>
    <w:lvl w:ilvl="8">
      <w:start w:val="1"/>
      <w:numFmt w:val="lowerRoman"/>
      <w:lvlText w:val="%9."/>
      <w:lvlJc w:val="right"/>
      <w:pPr>
        <w:ind w:left="3830" w:hanging="480"/>
      </w:pPr>
    </w:lvl>
  </w:abstractNum>
  <w:abstractNum w:abstractNumId="8" w15:restartNumberingAfterBreak="0">
    <w:nsid w:val="5F1E5E25"/>
    <w:multiLevelType w:val="multilevel"/>
    <w:tmpl w:val="3BE33AF4"/>
    <w:lvl w:ilvl="0">
      <w:start w:val="1"/>
      <w:numFmt w:val="taiwaneseCountingThousand"/>
      <w:lvlText w:val="(%1)"/>
      <w:lvlJc w:val="left"/>
      <w:pPr>
        <w:ind w:left="1741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651942D9"/>
    <w:multiLevelType w:val="multilevel"/>
    <w:tmpl w:val="651942D9"/>
    <w:lvl w:ilvl="0">
      <w:start w:val="1"/>
      <w:numFmt w:val="taiwaneseCountingThousand"/>
      <w:lvlText w:val="(%1)"/>
      <w:lvlJc w:val="left"/>
      <w:pPr>
        <w:ind w:left="1741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8C4560"/>
    <w:multiLevelType w:val="multilevel"/>
    <w:tmpl w:val="678C4560"/>
    <w:lvl w:ilvl="0">
      <w:start w:val="1"/>
      <w:numFmt w:val="taiwaneseCountingThousand"/>
      <w:lvlText w:val="(%1)"/>
      <w:lvlJc w:val="left"/>
      <w:pPr>
        <w:ind w:left="1741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6CD91436"/>
    <w:multiLevelType w:val="multilevel"/>
    <w:tmpl w:val="4E5F6089"/>
    <w:lvl w:ilvl="0">
      <w:start w:val="1"/>
      <w:numFmt w:val="taiwaneseCountingThousand"/>
      <w:lvlText w:val="(%1)"/>
      <w:lvlJc w:val="left"/>
      <w:pPr>
        <w:ind w:left="1741" w:hanging="465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8A"/>
    <w:rsid w:val="00001592"/>
    <w:rsid w:val="000062F9"/>
    <w:rsid w:val="00006D56"/>
    <w:rsid w:val="000106A7"/>
    <w:rsid w:val="00020CFA"/>
    <w:rsid w:val="00021941"/>
    <w:rsid w:val="0002204E"/>
    <w:rsid w:val="00036182"/>
    <w:rsid w:val="00036561"/>
    <w:rsid w:val="00037C20"/>
    <w:rsid w:val="00041B22"/>
    <w:rsid w:val="00042806"/>
    <w:rsid w:val="00044665"/>
    <w:rsid w:val="00047B02"/>
    <w:rsid w:val="00051B2F"/>
    <w:rsid w:val="0006311C"/>
    <w:rsid w:val="0008164F"/>
    <w:rsid w:val="000841FF"/>
    <w:rsid w:val="00087A3D"/>
    <w:rsid w:val="00092FEB"/>
    <w:rsid w:val="00093BF6"/>
    <w:rsid w:val="000A0062"/>
    <w:rsid w:val="000B0841"/>
    <w:rsid w:val="000B1223"/>
    <w:rsid w:val="000B1A13"/>
    <w:rsid w:val="000B5488"/>
    <w:rsid w:val="000C1205"/>
    <w:rsid w:val="000C6E58"/>
    <w:rsid w:val="000C7267"/>
    <w:rsid w:val="000D2EBB"/>
    <w:rsid w:val="000D6959"/>
    <w:rsid w:val="000E0B66"/>
    <w:rsid w:val="000E2118"/>
    <w:rsid w:val="000E257F"/>
    <w:rsid w:val="000F2033"/>
    <w:rsid w:val="000F3331"/>
    <w:rsid w:val="000F358F"/>
    <w:rsid w:val="000F6772"/>
    <w:rsid w:val="00100E2A"/>
    <w:rsid w:val="001028E4"/>
    <w:rsid w:val="00107DCB"/>
    <w:rsid w:val="00111AD0"/>
    <w:rsid w:val="0012170D"/>
    <w:rsid w:val="00121DDC"/>
    <w:rsid w:val="00123B68"/>
    <w:rsid w:val="00125E29"/>
    <w:rsid w:val="00137EDD"/>
    <w:rsid w:val="00142E7D"/>
    <w:rsid w:val="00145050"/>
    <w:rsid w:val="00145A6B"/>
    <w:rsid w:val="0014659F"/>
    <w:rsid w:val="00150EAD"/>
    <w:rsid w:val="00153A8B"/>
    <w:rsid w:val="00156465"/>
    <w:rsid w:val="001571E4"/>
    <w:rsid w:val="00165397"/>
    <w:rsid w:val="00177EFC"/>
    <w:rsid w:val="00184A91"/>
    <w:rsid w:val="00184F3A"/>
    <w:rsid w:val="00192DB6"/>
    <w:rsid w:val="0019548E"/>
    <w:rsid w:val="001A6AEE"/>
    <w:rsid w:val="001B2099"/>
    <w:rsid w:val="001C1E53"/>
    <w:rsid w:val="001C31E5"/>
    <w:rsid w:val="001C4394"/>
    <w:rsid w:val="001C6186"/>
    <w:rsid w:val="001C6CD5"/>
    <w:rsid w:val="001D2C2F"/>
    <w:rsid w:val="001D76DB"/>
    <w:rsid w:val="001E2C95"/>
    <w:rsid w:val="001E7D42"/>
    <w:rsid w:val="001F092A"/>
    <w:rsid w:val="001F3807"/>
    <w:rsid w:val="001F4258"/>
    <w:rsid w:val="002003B4"/>
    <w:rsid w:val="00200F4E"/>
    <w:rsid w:val="00201C4C"/>
    <w:rsid w:val="0020733D"/>
    <w:rsid w:val="002074D6"/>
    <w:rsid w:val="00211A75"/>
    <w:rsid w:val="0022642D"/>
    <w:rsid w:val="00227A2D"/>
    <w:rsid w:val="00231BDC"/>
    <w:rsid w:val="00236690"/>
    <w:rsid w:val="00242373"/>
    <w:rsid w:val="0025169A"/>
    <w:rsid w:val="002550C3"/>
    <w:rsid w:val="002622A5"/>
    <w:rsid w:val="00265475"/>
    <w:rsid w:val="002661CC"/>
    <w:rsid w:val="00271F5C"/>
    <w:rsid w:val="00273D6C"/>
    <w:rsid w:val="002756DF"/>
    <w:rsid w:val="00282AA9"/>
    <w:rsid w:val="002834BC"/>
    <w:rsid w:val="002841B0"/>
    <w:rsid w:val="002849FB"/>
    <w:rsid w:val="00292DD0"/>
    <w:rsid w:val="00297BFF"/>
    <w:rsid w:val="002A033B"/>
    <w:rsid w:val="002A46E3"/>
    <w:rsid w:val="002A4720"/>
    <w:rsid w:val="002A794D"/>
    <w:rsid w:val="002B2189"/>
    <w:rsid w:val="002B3744"/>
    <w:rsid w:val="002B5222"/>
    <w:rsid w:val="002C0C81"/>
    <w:rsid w:val="002C2D72"/>
    <w:rsid w:val="002C6FFB"/>
    <w:rsid w:val="002D4376"/>
    <w:rsid w:val="002E3A57"/>
    <w:rsid w:val="002F16D5"/>
    <w:rsid w:val="002F6389"/>
    <w:rsid w:val="003078BB"/>
    <w:rsid w:val="003223A5"/>
    <w:rsid w:val="00324240"/>
    <w:rsid w:val="00324AB5"/>
    <w:rsid w:val="00326DA8"/>
    <w:rsid w:val="00327724"/>
    <w:rsid w:val="00327BF7"/>
    <w:rsid w:val="003335B0"/>
    <w:rsid w:val="003408C1"/>
    <w:rsid w:val="00344B3E"/>
    <w:rsid w:val="00344BBC"/>
    <w:rsid w:val="00352F8F"/>
    <w:rsid w:val="0035419B"/>
    <w:rsid w:val="00356589"/>
    <w:rsid w:val="00356CBA"/>
    <w:rsid w:val="0035785F"/>
    <w:rsid w:val="00367527"/>
    <w:rsid w:val="003712E1"/>
    <w:rsid w:val="00377F3C"/>
    <w:rsid w:val="00382AA0"/>
    <w:rsid w:val="00383BE3"/>
    <w:rsid w:val="00386132"/>
    <w:rsid w:val="00390649"/>
    <w:rsid w:val="003948B9"/>
    <w:rsid w:val="003951A3"/>
    <w:rsid w:val="003959D2"/>
    <w:rsid w:val="003975B9"/>
    <w:rsid w:val="003A4009"/>
    <w:rsid w:val="003A5CE6"/>
    <w:rsid w:val="003A7A88"/>
    <w:rsid w:val="003B4698"/>
    <w:rsid w:val="003B525B"/>
    <w:rsid w:val="003C1215"/>
    <w:rsid w:val="003C2669"/>
    <w:rsid w:val="003C2A58"/>
    <w:rsid w:val="003C2CEF"/>
    <w:rsid w:val="003E4387"/>
    <w:rsid w:val="003E46B3"/>
    <w:rsid w:val="003E7BDF"/>
    <w:rsid w:val="003F3DC4"/>
    <w:rsid w:val="003F3FDC"/>
    <w:rsid w:val="003F74FE"/>
    <w:rsid w:val="0040149D"/>
    <w:rsid w:val="004057C1"/>
    <w:rsid w:val="00411B6D"/>
    <w:rsid w:val="00436A11"/>
    <w:rsid w:val="00437A12"/>
    <w:rsid w:val="00440ABC"/>
    <w:rsid w:val="00440D9C"/>
    <w:rsid w:val="00447E0C"/>
    <w:rsid w:val="004515EB"/>
    <w:rsid w:val="00453FD5"/>
    <w:rsid w:val="00465DD4"/>
    <w:rsid w:val="004743A2"/>
    <w:rsid w:val="00474FB4"/>
    <w:rsid w:val="004829F7"/>
    <w:rsid w:val="0048552F"/>
    <w:rsid w:val="00491406"/>
    <w:rsid w:val="004926FD"/>
    <w:rsid w:val="0049318E"/>
    <w:rsid w:val="00495DD8"/>
    <w:rsid w:val="004A6DCE"/>
    <w:rsid w:val="004B17F4"/>
    <w:rsid w:val="004B4A36"/>
    <w:rsid w:val="004B52C0"/>
    <w:rsid w:val="004B62E0"/>
    <w:rsid w:val="004C6F8E"/>
    <w:rsid w:val="004D4A19"/>
    <w:rsid w:val="004D59D3"/>
    <w:rsid w:val="004E1A18"/>
    <w:rsid w:val="004E7420"/>
    <w:rsid w:val="004F1909"/>
    <w:rsid w:val="004F2447"/>
    <w:rsid w:val="004F756C"/>
    <w:rsid w:val="005215CE"/>
    <w:rsid w:val="00527FF2"/>
    <w:rsid w:val="00532261"/>
    <w:rsid w:val="005411AF"/>
    <w:rsid w:val="00544306"/>
    <w:rsid w:val="00555A5E"/>
    <w:rsid w:val="00561890"/>
    <w:rsid w:val="00570416"/>
    <w:rsid w:val="00571636"/>
    <w:rsid w:val="00573694"/>
    <w:rsid w:val="00582366"/>
    <w:rsid w:val="00583C0F"/>
    <w:rsid w:val="005900B9"/>
    <w:rsid w:val="0059699E"/>
    <w:rsid w:val="005972E7"/>
    <w:rsid w:val="005A0CFF"/>
    <w:rsid w:val="005A11E0"/>
    <w:rsid w:val="005A2BCF"/>
    <w:rsid w:val="005A4C8D"/>
    <w:rsid w:val="005A59DF"/>
    <w:rsid w:val="005B2F43"/>
    <w:rsid w:val="005B4D24"/>
    <w:rsid w:val="005B4EAB"/>
    <w:rsid w:val="005B58C9"/>
    <w:rsid w:val="005D0821"/>
    <w:rsid w:val="005D4375"/>
    <w:rsid w:val="005D4380"/>
    <w:rsid w:val="005E4577"/>
    <w:rsid w:val="005E4ABF"/>
    <w:rsid w:val="005E659B"/>
    <w:rsid w:val="005E696A"/>
    <w:rsid w:val="005E7159"/>
    <w:rsid w:val="005E792B"/>
    <w:rsid w:val="005E7CCC"/>
    <w:rsid w:val="005F2674"/>
    <w:rsid w:val="005F3EFB"/>
    <w:rsid w:val="00610A85"/>
    <w:rsid w:val="0061134B"/>
    <w:rsid w:val="00611E0B"/>
    <w:rsid w:val="006201A8"/>
    <w:rsid w:val="0063152B"/>
    <w:rsid w:val="00631F6F"/>
    <w:rsid w:val="006348F3"/>
    <w:rsid w:val="006431AE"/>
    <w:rsid w:val="00646A66"/>
    <w:rsid w:val="00647E04"/>
    <w:rsid w:val="00655BA5"/>
    <w:rsid w:val="0066087F"/>
    <w:rsid w:val="00665E39"/>
    <w:rsid w:val="006708FA"/>
    <w:rsid w:val="00671AD2"/>
    <w:rsid w:val="0068603A"/>
    <w:rsid w:val="00691EED"/>
    <w:rsid w:val="006960E7"/>
    <w:rsid w:val="006A4DF3"/>
    <w:rsid w:val="006B3C9F"/>
    <w:rsid w:val="006C3161"/>
    <w:rsid w:val="006D0EA6"/>
    <w:rsid w:val="006D2563"/>
    <w:rsid w:val="006E1BF0"/>
    <w:rsid w:val="006E30B4"/>
    <w:rsid w:val="006E4290"/>
    <w:rsid w:val="006E76A6"/>
    <w:rsid w:val="006F2CEF"/>
    <w:rsid w:val="0070178E"/>
    <w:rsid w:val="0070281A"/>
    <w:rsid w:val="007038AE"/>
    <w:rsid w:val="0071015D"/>
    <w:rsid w:val="00721A90"/>
    <w:rsid w:val="0072275B"/>
    <w:rsid w:val="007232BC"/>
    <w:rsid w:val="00726358"/>
    <w:rsid w:val="00735772"/>
    <w:rsid w:val="0073784A"/>
    <w:rsid w:val="007475F4"/>
    <w:rsid w:val="00751290"/>
    <w:rsid w:val="007517D7"/>
    <w:rsid w:val="007636B1"/>
    <w:rsid w:val="00763779"/>
    <w:rsid w:val="007816B9"/>
    <w:rsid w:val="00781A8A"/>
    <w:rsid w:val="007849B8"/>
    <w:rsid w:val="0079453E"/>
    <w:rsid w:val="00796B2D"/>
    <w:rsid w:val="0079753E"/>
    <w:rsid w:val="007A04B5"/>
    <w:rsid w:val="007A2392"/>
    <w:rsid w:val="007B0700"/>
    <w:rsid w:val="007B090D"/>
    <w:rsid w:val="007B2A01"/>
    <w:rsid w:val="007C41B9"/>
    <w:rsid w:val="007C510E"/>
    <w:rsid w:val="007C5ED3"/>
    <w:rsid w:val="007D4754"/>
    <w:rsid w:val="007D67D6"/>
    <w:rsid w:val="007E5ED4"/>
    <w:rsid w:val="007F2986"/>
    <w:rsid w:val="007F2C7F"/>
    <w:rsid w:val="007F2EA6"/>
    <w:rsid w:val="007F4DD4"/>
    <w:rsid w:val="00802763"/>
    <w:rsid w:val="008028EA"/>
    <w:rsid w:val="00806692"/>
    <w:rsid w:val="008116B1"/>
    <w:rsid w:val="00823BBC"/>
    <w:rsid w:val="0082437B"/>
    <w:rsid w:val="0083266C"/>
    <w:rsid w:val="00832D37"/>
    <w:rsid w:val="00843750"/>
    <w:rsid w:val="00850EBC"/>
    <w:rsid w:val="00851576"/>
    <w:rsid w:val="00852F49"/>
    <w:rsid w:val="00853D94"/>
    <w:rsid w:val="00854BCD"/>
    <w:rsid w:val="00854C7B"/>
    <w:rsid w:val="0086004D"/>
    <w:rsid w:val="008605FC"/>
    <w:rsid w:val="008612DB"/>
    <w:rsid w:val="00863825"/>
    <w:rsid w:val="00865D0B"/>
    <w:rsid w:val="008737E4"/>
    <w:rsid w:val="00877637"/>
    <w:rsid w:val="00886FEA"/>
    <w:rsid w:val="00887EC6"/>
    <w:rsid w:val="008926EC"/>
    <w:rsid w:val="008934AD"/>
    <w:rsid w:val="0089678F"/>
    <w:rsid w:val="008A50E0"/>
    <w:rsid w:val="008B360A"/>
    <w:rsid w:val="008B7C04"/>
    <w:rsid w:val="008C1B2A"/>
    <w:rsid w:val="008C1DE0"/>
    <w:rsid w:val="008C2430"/>
    <w:rsid w:val="008D0B1F"/>
    <w:rsid w:val="008D2205"/>
    <w:rsid w:val="008E0001"/>
    <w:rsid w:val="008E0E14"/>
    <w:rsid w:val="008F2DDB"/>
    <w:rsid w:val="008F6704"/>
    <w:rsid w:val="00902CDD"/>
    <w:rsid w:val="0090330E"/>
    <w:rsid w:val="00907E66"/>
    <w:rsid w:val="0091581B"/>
    <w:rsid w:val="00920C0C"/>
    <w:rsid w:val="009248D1"/>
    <w:rsid w:val="00925B94"/>
    <w:rsid w:val="00930C6D"/>
    <w:rsid w:val="009314B8"/>
    <w:rsid w:val="00935664"/>
    <w:rsid w:val="009410B1"/>
    <w:rsid w:val="00943221"/>
    <w:rsid w:val="009458A9"/>
    <w:rsid w:val="0095242F"/>
    <w:rsid w:val="00954CC9"/>
    <w:rsid w:val="00956142"/>
    <w:rsid w:val="00961E66"/>
    <w:rsid w:val="009636B9"/>
    <w:rsid w:val="00963F9A"/>
    <w:rsid w:val="00972101"/>
    <w:rsid w:val="00980189"/>
    <w:rsid w:val="009802DB"/>
    <w:rsid w:val="00982E47"/>
    <w:rsid w:val="009859B5"/>
    <w:rsid w:val="00991486"/>
    <w:rsid w:val="009979F0"/>
    <w:rsid w:val="009A49AA"/>
    <w:rsid w:val="009B0A01"/>
    <w:rsid w:val="009B1076"/>
    <w:rsid w:val="009B7451"/>
    <w:rsid w:val="009C058A"/>
    <w:rsid w:val="009C58FB"/>
    <w:rsid w:val="009D079A"/>
    <w:rsid w:val="009E1DB8"/>
    <w:rsid w:val="009F0DEF"/>
    <w:rsid w:val="009F6169"/>
    <w:rsid w:val="00A02572"/>
    <w:rsid w:val="00A05E0B"/>
    <w:rsid w:val="00A073BB"/>
    <w:rsid w:val="00A22232"/>
    <w:rsid w:val="00A2450D"/>
    <w:rsid w:val="00A40723"/>
    <w:rsid w:val="00A46742"/>
    <w:rsid w:val="00A479D9"/>
    <w:rsid w:val="00A525A8"/>
    <w:rsid w:val="00A563B6"/>
    <w:rsid w:val="00A600C1"/>
    <w:rsid w:val="00A60714"/>
    <w:rsid w:val="00A61FF2"/>
    <w:rsid w:val="00A62A15"/>
    <w:rsid w:val="00A665CD"/>
    <w:rsid w:val="00A66FD0"/>
    <w:rsid w:val="00A77712"/>
    <w:rsid w:val="00A93661"/>
    <w:rsid w:val="00A96C48"/>
    <w:rsid w:val="00AA0A02"/>
    <w:rsid w:val="00AA71CB"/>
    <w:rsid w:val="00AB0AF7"/>
    <w:rsid w:val="00AB0EFC"/>
    <w:rsid w:val="00AB11F2"/>
    <w:rsid w:val="00AB4B2C"/>
    <w:rsid w:val="00AB5CDD"/>
    <w:rsid w:val="00AB600E"/>
    <w:rsid w:val="00AB79BB"/>
    <w:rsid w:val="00AC1A18"/>
    <w:rsid w:val="00AC1D97"/>
    <w:rsid w:val="00AD1979"/>
    <w:rsid w:val="00AD2996"/>
    <w:rsid w:val="00AD2CAD"/>
    <w:rsid w:val="00AD2DE5"/>
    <w:rsid w:val="00AD3776"/>
    <w:rsid w:val="00AE1232"/>
    <w:rsid w:val="00AF1F51"/>
    <w:rsid w:val="00AF6900"/>
    <w:rsid w:val="00B0021B"/>
    <w:rsid w:val="00B07BAC"/>
    <w:rsid w:val="00B14667"/>
    <w:rsid w:val="00B16B62"/>
    <w:rsid w:val="00B24DFC"/>
    <w:rsid w:val="00B30976"/>
    <w:rsid w:val="00B43B3B"/>
    <w:rsid w:val="00B45735"/>
    <w:rsid w:val="00B45BCA"/>
    <w:rsid w:val="00B46603"/>
    <w:rsid w:val="00B5449A"/>
    <w:rsid w:val="00B55829"/>
    <w:rsid w:val="00B60955"/>
    <w:rsid w:val="00B663ED"/>
    <w:rsid w:val="00B66693"/>
    <w:rsid w:val="00B67B0B"/>
    <w:rsid w:val="00B71D38"/>
    <w:rsid w:val="00B9729D"/>
    <w:rsid w:val="00BA10EA"/>
    <w:rsid w:val="00BA1452"/>
    <w:rsid w:val="00BA479D"/>
    <w:rsid w:val="00BB35BA"/>
    <w:rsid w:val="00BB56E9"/>
    <w:rsid w:val="00BC23F6"/>
    <w:rsid w:val="00BC7662"/>
    <w:rsid w:val="00BE3D64"/>
    <w:rsid w:val="00BF204B"/>
    <w:rsid w:val="00BF3590"/>
    <w:rsid w:val="00BF44F2"/>
    <w:rsid w:val="00BF4849"/>
    <w:rsid w:val="00C01043"/>
    <w:rsid w:val="00C061BF"/>
    <w:rsid w:val="00C173C7"/>
    <w:rsid w:val="00C21044"/>
    <w:rsid w:val="00C27FB6"/>
    <w:rsid w:val="00C36BE5"/>
    <w:rsid w:val="00C36EB1"/>
    <w:rsid w:val="00C46858"/>
    <w:rsid w:val="00C64471"/>
    <w:rsid w:val="00C72B56"/>
    <w:rsid w:val="00C72F22"/>
    <w:rsid w:val="00C779C0"/>
    <w:rsid w:val="00C80CA5"/>
    <w:rsid w:val="00C81AC8"/>
    <w:rsid w:val="00C908D3"/>
    <w:rsid w:val="00C93A8C"/>
    <w:rsid w:val="00C950C3"/>
    <w:rsid w:val="00C9674F"/>
    <w:rsid w:val="00C97193"/>
    <w:rsid w:val="00CA732A"/>
    <w:rsid w:val="00CA7997"/>
    <w:rsid w:val="00CB15FF"/>
    <w:rsid w:val="00CB2900"/>
    <w:rsid w:val="00CB2ADF"/>
    <w:rsid w:val="00CB3B70"/>
    <w:rsid w:val="00CB4F5B"/>
    <w:rsid w:val="00CB7517"/>
    <w:rsid w:val="00CB7583"/>
    <w:rsid w:val="00CB76FF"/>
    <w:rsid w:val="00CC1AC9"/>
    <w:rsid w:val="00CC24B1"/>
    <w:rsid w:val="00CC253B"/>
    <w:rsid w:val="00CD0AB8"/>
    <w:rsid w:val="00CD0F4F"/>
    <w:rsid w:val="00CD3C1C"/>
    <w:rsid w:val="00CD5DC9"/>
    <w:rsid w:val="00CE2B32"/>
    <w:rsid w:val="00CF3791"/>
    <w:rsid w:val="00D03341"/>
    <w:rsid w:val="00D078E1"/>
    <w:rsid w:val="00D1031C"/>
    <w:rsid w:val="00D10A49"/>
    <w:rsid w:val="00D130DC"/>
    <w:rsid w:val="00D162DE"/>
    <w:rsid w:val="00D2287F"/>
    <w:rsid w:val="00D23A01"/>
    <w:rsid w:val="00D31CF2"/>
    <w:rsid w:val="00D43860"/>
    <w:rsid w:val="00D47524"/>
    <w:rsid w:val="00D51422"/>
    <w:rsid w:val="00D52EB2"/>
    <w:rsid w:val="00D56C00"/>
    <w:rsid w:val="00D61998"/>
    <w:rsid w:val="00D6796C"/>
    <w:rsid w:val="00D737BD"/>
    <w:rsid w:val="00D7459B"/>
    <w:rsid w:val="00D75700"/>
    <w:rsid w:val="00D7732E"/>
    <w:rsid w:val="00D8028F"/>
    <w:rsid w:val="00D877EB"/>
    <w:rsid w:val="00D91F3E"/>
    <w:rsid w:val="00D9238E"/>
    <w:rsid w:val="00D929CA"/>
    <w:rsid w:val="00D9457B"/>
    <w:rsid w:val="00D966E9"/>
    <w:rsid w:val="00DA2A15"/>
    <w:rsid w:val="00DA564A"/>
    <w:rsid w:val="00DB1225"/>
    <w:rsid w:val="00DB1384"/>
    <w:rsid w:val="00DB26B2"/>
    <w:rsid w:val="00DB508E"/>
    <w:rsid w:val="00DC3F6A"/>
    <w:rsid w:val="00DC4417"/>
    <w:rsid w:val="00DC6DAC"/>
    <w:rsid w:val="00DC6E64"/>
    <w:rsid w:val="00DD284B"/>
    <w:rsid w:val="00DD3F02"/>
    <w:rsid w:val="00DD6372"/>
    <w:rsid w:val="00DF28CA"/>
    <w:rsid w:val="00DF6E7B"/>
    <w:rsid w:val="00E21932"/>
    <w:rsid w:val="00E43068"/>
    <w:rsid w:val="00E45024"/>
    <w:rsid w:val="00E544EF"/>
    <w:rsid w:val="00E70FE9"/>
    <w:rsid w:val="00E8127A"/>
    <w:rsid w:val="00E83374"/>
    <w:rsid w:val="00E87CF9"/>
    <w:rsid w:val="00E925E5"/>
    <w:rsid w:val="00E94DD0"/>
    <w:rsid w:val="00EA6F03"/>
    <w:rsid w:val="00EB0745"/>
    <w:rsid w:val="00EB7610"/>
    <w:rsid w:val="00EC0F1E"/>
    <w:rsid w:val="00EC7251"/>
    <w:rsid w:val="00EE0564"/>
    <w:rsid w:val="00EE4956"/>
    <w:rsid w:val="00EF3825"/>
    <w:rsid w:val="00EF4DF6"/>
    <w:rsid w:val="00EF5E94"/>
    <w:rsid w:val="00F00498"/>
    <w:rsid w:val="00F03E24"/>
    <w:rsid w:val="00F06347"/>
    <w:rsid w:val="00F128F0"/>
    <w:rsid w:val="00F15025"/>
    <w:rsid w:val="00F15D13"/>
    <w:rsid w:val="00F23A38"/>
    <w:rsid w:val="00F30B39"/>
    <w:rsid w:val="00F41C30"/>
    <w:rsid w:val="00F42891"/>
    <w:rsid w:val="00F4349E"/>
    <w:rsid w:val="00F544EA"/>
    <w:rsid w:val="00F61E93"/>
    <w:rsid w:val="00F64D3D"/>
    <w:rsid w:val="00F6534D"/>
    <w:rsid w:val="00F70E15"/>
    <w:rsid w:val="00F90AFC"/>
    <w:rsid w:val="00F96788"/>
    <w:rsid w:val="00FA1EA5"/>
    <w:rsid w:val="00FA5AB4"/>
    <w:rsid w:val="00FB49B1"/>
    <w:rsid w:val="00FC0EB1"/>
    <w:rsid w:val="00FC3FDD"/>
    <w:rsid w:val="00FD2CE7"/>
    <w:rsid w:val="00FD30E3"/>
    <w:rsid w:val="00FD582D"/>
    <w:rsid w:val="00FD60C0"/>
    <w:rsid w:val="00FE79BB"/>
    <w:rsid w:val="00FF720F"/>
    <w:rsid w:val="0FAC0ECF"/>
    <w:rsid w:val="2D614AA0"/>
    <w:rsid w:val="7E4B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796101"/>
  <w15:docId w15:val="{3E54D990-E6D7-4FAC-88F8-931E6E82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note text"/>
    <w:basedOn w:val="a"/>
    <w:link w:val="a6"/>
    <w:uiPriority w:val="99"/>
    <w:unhideWhenUsed/>
    <w:pPr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6">
    <w:name w:val="註腳文字 字元"/>
    <w:basedOn w:val="a0"/>
    <w:link w:val="a5"/>
    <w:uiPriority w:val="99"/>
    <w:rPr>
      <w:sz w:val="20"/>
      <w:szCs w:val="20"/>
    </w:rPr>
  </w:style>
  <w:style w:type="paragraph" w:customStyle="1" w:styleId="ae">
    <w:name w:val="圖名"/>
    <w:basedOn w:val="a"/>
    <w:qFormat/>
    <w:pPr>
      <w:widowControl/>
      <w:spacing w:line="440" w:lineRule="exact"/>
      <w:jc w:val="center"/>
    </w:pPr>
    <w:rPr>
      <w:rFonts w:ascii="Times New Roman" w:eastAsia="標楷體" w:hAnsi="Times New Roman" w:cs="Times New Roman"/>
      <w:b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5ADB4-8315-4587-BC37-1F9FC94E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蔡秉諺</dc:creator>
  <cp:lastModifiedBy>廖淑秋</cp:lastModifiedBy>
  <cp:revision>6</cp:revision>
  <cp:lastPrinted>2020-09-29T10:28:00Z</cp:lastPrinted>
  <dcterms:created xsi:type="dcterms:W3CDTF">2023-12-28T02:22:00Z</dcterms:created>
  <dcterms:modified xsi:type="dcterms:W3CDTF">2023-12-28T02:26:00Z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